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3261"/>
        <w:gridCol w:w="392"/>
        <w:gridCol w:w="236"/>
        <w:gridCol w:w="2697"/>
        <w:gridCol w:w="260"/>
        <w:gridCol w:w="1194"/>
        <w:gridCol w:w="1828"/>
        <w:gridCol w:w="1012"/>
      </w:tblGrid>
      <w:tr w:rsidR="00E45FDA" w:rsidRPr="00E45FDA" w:rsidTr="00E45FDA">
        <w:trPr>
          <w:trHeight w:val="255"/>
        </w:trPr>
        <w:tc>
          <w:tcPr>
            <w:tcW w:w="3261"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Level</w:t>
            </w:r>
          </w:p>
        </w:tc>
        <w:tc>
          <w:tcPr>
            <w:tcW w:w="392"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236"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2697"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Kabupaten Berau</w:t>
            </w:r>
          </w:p>
        </w:tc>
        <w:tc>
          <w:tcPr>
            <w:tcW w:w="260"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194"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828"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012"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653" w:type="dxa"/>
            <w:gridSpan w:val="2"/>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Komponen</w:t>
            </w:r>
          </w:p>
        </w:tc>
        <w:tc>
          <w:tcPr>
            <w:tcW w:w="236"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2957" w:type="dxa"/>
            <w:gridSpan w:val="2"/>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Implementasi Kinerja</w:t>
            </w:r>
          </w:p>
        </w:tc>
        <w:tc>
          <w:tcPr>
            <w:tcW w:w="1194" w:type="dxa"/>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828"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012"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261"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392"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236"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2697"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260"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194"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012" w:type="dxa"/>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889" w:type="dxa"/>
            <w:gridSpan w:val="3"/>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5979" w:type="dxa"/>
            <w:gridSpan w:val="4"/>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I. Perencanaan Kehutanan dan Tata Ruang </w:t>
            </w:r>
          </w:p>
        </w:tc>
        <w:tc>
          <w:tcPr>
            <w:tcW w:w="1012" w:type="dxa"/>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45"/>
        </w:trPr>
        <w:tc>
          <w:tcPr>
            <w:tcW w:w="3653" w:type="dxa"/>
            <w:gridSpan w:val="2"/>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236" w:type="dxa"/>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6991" w:type="dxa"/>
            <w:gridSpan w:val="5"/>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a. Tingkat penerimaan (legitimasi) atas dokumen RTRWP/RTRWK/Kehutanan</w:t>
            </w:r>
          </w:p>
        </w:tc>
      </w:tr>
      <w:tr w:rsidR="00E45FDA" w:rsidRPr="00E45FDA" w:rsidTr="00E45FDA">
        <w:trPr>
          <w:trHeight w:val="300"/>
        </w:trPr>
        <w:tc>
          <w:tcPr>
            <w:tcW w:w="3653" w:type="dxa"/>
            <w:gridSpan w:val="2"/>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236" w:type="dxa"/>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6991" w:type="dxa"/>
            <w:gridSpan w:val="5"/>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20"/>
        <w:gridCol w:w="1759"/>
        <w:gridCol w:w="1157"/>
        <w:gridCol w:w="1828"/>
        <w:gridCol w:w="1203"/>
        <w:gridCol w:w="1522"/>
        <w:gridCol w:w="1382"/>
      </w:tblGrid>
      <w:tr w:rsidR="00E45FDA" w:rsidRPr="00E45FDA" w:rsidTr="00E45FDA">
        <w:trPr>
          <w:trHeight w:val="94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65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FIa1</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Bagaimana (tingkat) penerimaan (legitimasi) </w:t>
            </w:r>
            <w:r w:rsidRPr="00E45FDA">
              <w:rPr>
                <w:rFonts w:ascii="Times New Roman" w:eastAsia="Times New Roman" w:hAnsi="Times New Roman" w:cs="Times New Roman"/>
                <w:i/>
                <w:iCs/>
                <w:color w:val="000000"/>
                <w:sz w:val="20"/>
                <w:szCs w:val="20"/>
                <w:lang w:eastAsia="id-ID"/>
              </w:rPr>
              <w:t xml:space="preserve">stakeholder </w:t>
            </w:r>
            <w:r w:rsidRPr="00E45FDA">
              <w:rPr>
                <w:rFonts w:ascii="Times New Roman" w:eastAsia="Times New Roman" w:hAnsi="Times New Roman" w:cs="Times New Roman"/>
                <w:color w:val="000000"/>
                <w:sz w:val="20"/>
                <w:szCs w:val="20"/>
                <w:lang w:eastAsia="id-ID"/>
              </w:rPr>
              <w:t>atas dokumen RTRWP/RTRWK/Kehutanan?</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Tidak ada dokumen terkait penerimaan stakeholder atas dokumen RTRWP/ RTRWK/ Kehutanan. Apalagi RTRW Kab. Berau 2012-2032 belum selesai hingga saat ini</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86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Tata Ruang</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Legalitas RTRW Kab. Berau 2012-2032 belum diperoleh sehingga dokumen ini tidak dapat diberikan takut ada perubahan-perubahan</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Sebagian ada yang diterima dan sebagian tidak. Sebagai bagian dari pemerintah daerah kami membawa aspirasi dari masyarakat, jadi dibelakang kami ada masyarakat dan masyarakat kami perjuangkan. Sebagai contoh kampung masyarakat yang ada di kawasan KBK harus diperjuangkan untuk dirubah status kawasannya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121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Tidak ada dokumen terkait penerimaan stakeholder atas dokumen RTRWP/ RTRWK/ Kehutanan.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Masih kurang atau rendah penerimaan stakeholder terhadap dokumen RTRWP/RTRWK/ Kehutanan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27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Tidak ada dokumen terkait penerimaan stakeholder atas dokumen RTRWP/ RTRWK/ Kehutanan.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nil"/>
              <w:left w:val="nil"/>
              <w:bottom w:val="nil"/>
              <w:right w:val="nil"/>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Masih banyak yang tumpang tindih menurut masayrakat. Masyarakat tidak menerima tapi karena tidak tahu dimana menyampaikannya maka selama ini pasrah saja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72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Asosiasi Pengusaha</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Tidak ada dokumen terkait penerimaan stakeholder atas dokumen RTRWP/ RTRWK/ Kehutanan.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Jika bicara hal tersebut kembali kepada kepentingan negara dengan dasar kepentingan rakyat tapi kenyataan dilapangan kepentingan perusahaan dahulu baru kepentingan rakyat. </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50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Akademisi</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Tidak ada dokumen terkait penerimaan stakeholder atas dokumen RTRWP/ RTRWK/ Kehutanan.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Sebagian besar menerima dokumen. Bahwa dalam penyusunan RTRWK dari berbagai SKPD, jika cocok dan sesuai akan diakomodir.</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4</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E45FDA" w:rsidRPr="00E45FDA" w:rsidTr="00E45FDA">
        <w:trPr>
          <w:trHeight w:val="130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0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FIb1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luas kawasan hutan yang dikukuhkan dan dite-rima oleh para pihak</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penerimaan para pihak terhadap jumlah luas kawasan hutan yang telah dikukuhkan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Belum ada kawasan hutan yang telah dikukuhkan. Masih berdasar pada SK Menhut No. 79/kpts II/ 2011 Tanggal 15 Maret 2011 tentang Penunjukan Kawasan Hutan dan Perairan </w:t>
            </w:r>
            <w:r w:rsidRPr="00E45FDA">
              <w:rPr>
                <w:rFonts w:ascii="Times New Roman" w:eastAsia="Times New Roman" w:hAnsi="Times New Roman" w:cs="Times New Roman"/>
                <w:color w:val="000000"/>
                <w:sz w:val="20"/>
                <w:szCs w:val="20"/>
                <w:lang w:eastAsia="id-ID"/>
              </w:rPr>
              <w:lastRenderedPageBreak/>
              <w:t>Propinsi Kaltim</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1</w:t>
            </w:r>
          </w:p>
        </w:tc>
      </w:tr>
      <w:tr w:rsidR="00E45FDA" w:rsidRPr="00E45FDA" w:rsidTr="00E45FDA">
        <w:trPr>
          <w:trHeight w:val="153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penerimaan para pihak terhadap jumlah luas kawasan hutan yang telah dikukuhkan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Responden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04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penerimaan para pihak terhadap jumlah luas kawasan hutan yang telah dikukuhkan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Sebetulnya masayrakat tidak menerima karena dilakukan secara sepihak tanpa melibatkan masayrakat yang sudah tinggal ditempat ini lama sehingga masyarakat merasa ditindas ditempatnya sendiri tanpa diakui hak-haknya. </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98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Akademisi</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penerimaan para pihak terhadap jumlah luas kawasan hutan yang telah dikukuhkan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Terkait dengan pengukuhan kawasan hutan ataupun RTRWK akademisi tidak dilibatkan sehingga kurang mengetahui penerimaan maupun perkembangannya</w:t>
            </w:r>
          </w:p>
        </w:tc>
        <w:tc>
          <w:tcPr>
            <w:tcW w:w="1382" w:type="dxa"/>
            <w:tcBorders>
              <w:top w:val="nil"/>
              <w:left w:val="nil"/>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4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E45FDA" w:rsidRPr="00E45FDA" w:rsidTr="00E45FDA">
        <w:trPr>
          <w:trHeight w:val="112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2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FIc1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Draft RTRWKabupaten 2012-2032 tidak diberikan oleh Bappeda maupun Dinas Perumahan dan Tata Ruang karena belum final, dikhawatirkan ada perubahan-perunahan yang terjadi.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Tata ruang kelola masyarakat telah terakomodir dalam tata ruang propinsi dan kabupaten meskipun pengelolaannya belum bisa berjalan keseluruhannya.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207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Draft RTRWKabupaten 2012-2032 tidak diberikan oleh Bappeda maupun Dinas Perumahan dan Tata Ruang karena belum final, dikhawatirkan ada perubahan-perunahan yang terjadi.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atau tidak memadai, menurut saya belum ada jumlah tata ruang kelola msyarakat yang masuk dalam taa ruang propinsi atau kabupaten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04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Draft RTRWKabupaten 2012-2032 tidak diberikan oleh Bappeda maupun Dinas Perumahan dan Tata Ruang karena belum final, dikhawatirkan ada perubahan-perunahan yang terjadi.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memadai, ada dalam bentuk rencana tapi dalam implementasi belum ada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96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Akademisi</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Draft RTRWKabupaten 2012-2032 tidak diberikan oleh Bappeda maupun Dinas Perumahan dan Tata Ruang karena belum final, dikhawatirkan ada perubahan-perunahan yang terjadi.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Ada diakomodir tata- ruang kelola masyarakat adat/ lokal, namun karena tidak pernah ikut dalam hal penyusunan tata ruang maka tidak mengetahui jumlahnya. </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E45FDA" w:rsidRPr="00E45FDA" w:rsidTr="00E45FDA">
        <w:trPr>
          <w:trHeight w:val="112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600"/>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FFFF00"/>
                <w:sz w:val="20"/>
                <w:szCs w:val="20"/>
                <w:lang w:eastAsia="id-ID"/>
              </w:rPr>
            </w:pPr>
            <w:r w:rsidRPr="00E45FDA">
              <w:rPr>
                <w:rFonts w:ascii="Times New Roman" w:eastAsia="Times New Roman" w:hAnsi="Times New Roman" w:cs="Times New Roman"/>
                <w:color w:val="FFFF00"/>
                <w:sz w:val="20"/>
                <w:szCs w:val="20"/>
                <w:lang w:eastAsia="id-ID"/>
              </w:rPr>
              <w:lastRenderedPageBreak/>
              <w:t> </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27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FFFF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jumlah konflik penguasaan kawasan yang dapat difasilitasi penyelesaiannya dalam setiap tahun.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konflik penguasaan kawasan yang difasilitasi dalam penyelesaiannya belum dapat diterima oleh semua pihak dengan  baik</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79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FFFF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jumlah konflik penguasaan kawasan yang dapat difasilitasi penyelesaiannya dalam setiap tahun karena penyelesaian konflik tidak dicatat hanya diingat saja. Bahwa masyarakat masih memegang budaya lisan dalam kesepakatan sampai saat ini.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Konflik yang berhubungan dengan penguasaan kawasan yang difasilitasi penyelesaiannya sampai sejauh ini belum belum memadai hal ini karena konflik tersebut dipaksakan untuk diselesaikan namun tidak menyelesaikan akar dari konflik itu</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53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FFFF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Akademisi</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jumlah konflik penguasaan kawasan yang dapat difasilitasi penyelesaiannya dalam setiap tahun.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F2F2F2"/>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Konflik penguasaan kawasan adalah bagian dari tim tata ruang. Konflik kepentingan dalam tata ruang ada namun jumlahnya tidak tahu begitu juga penyelesaiannya.</w:t>
            </w:r>
          </w:p>
        </w:tc>
        <w:tc>
          <w:tcPr>
            <w:tcW w:w="1382" w:type="dxa"/>
            <w:tcBorders>
              <w:top w:val="nil"/>
              <w:left w:val="nil"/>
              <w:bottom w:val="single" w:sz="4" w:space="0" w:color="auto"/>
              <w:right w:val="single" w:sz="4" w:space="0" w:color="auto"/>
            </w:tcBorders>
            <w:shd w:val="clear" w:color="000000" w:fill="F2F2F2"/>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FId1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Hasil mediasi bisa diterima oleh semua pihak dan dijalankan secara konsisten</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02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hasil mediasi yang bisa diterima oleh semua pihak dan dijalankan secara konsisten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tentu, hasil mediasi konflik tidak selalu diterima oleh semua pihak. Ini tergantung penyelesaiaanya yang dilakukan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Hasil mediasi secara umum belum dapat diterima oleh masyarakat karena konflik tersebut  dipaksakan untuk diselesaikan namun tidak menyelesaikan akar dari konflik itu. Pernah ada upaya pengelolaan secara collaboratif antara masyarakat dan HPH namun tidak berjalan dimana MoU hanya ditanda tangani kemudian tidak dijalankan.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27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Akademisi</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hasil mediasi yang bisa diterima oleh semua pihak dan dijalankan secara konsisten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persis. Bahwa konflik sosial umumnya selesai namun tidak tuntas. Kadang ada yang tidak terkontrol sehingga muncul konflik baru.</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2985"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II. Pengaturan Hak  </w:t>
            </w:r>
          </w:p>
        </w:tc>
        <w:tc>
          <w:tcPr>
            <w:tcW w:w="1203"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52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p>
        </w:tc>
      </w:tr>
      <w:tr w:rsidR="00E45FDA" w:rsidRPr="00E45FDA" w:rsidTr="00E45FDA">
        <w:trPr>
          <w:trHeight w:val="6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E45FDA">
              <w:rPr>
                <w:rFonts w:ascii="Times New Roman" w:eastAsia="Times New Roman" w:hAnsi="Times New Roman" w:cs="Times New Roman"/>
                <w:b/>
                <w:bCs/>
                <w:color w:val="000000"/>
                <w:sz w:val="20"/>
                <w:szCs w:val="20"/>
                <w:lang w:eastAsia="id-ID"/>
              </w:rPr>
              <w:br/>
              <w:t xml:space="preserve">   masyarakat dan bisnis di Kementerian/SKPD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 Kementerian/Dinas Kehutanan (Unit Pemberi Izin)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31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FIIa1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Kehutanan</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diberikan hanya berupa peta sebaran IUPHHK-HA, IUPHHK-TI Wilayah Kab. Berau Pro. Kaltim dan tabel dataIUPHHK-HA/TI di Kab Berau Pro. Kaltim                            Dokumen Surat Pengantar Kepada Menteri Kehutanan tentang Usulan Lokasi HTR. Terdapat 27 IUPHHK-HA/ HT dimana terdapat 6 IUPHHK-HA lintas Kabupaten                  Usulan Lokasi HTR di 4 Kampung Kab. Berau</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E45FDA">
              <w:rPr>
                <w:rFonts w:ascii="Times New Roman" w:eastAsia="Times New Roman" w:hAnsi="Times New Roman" w:cs="Times New Roman"/>
                <w:b/>
                <w:bCs/>
                <w:color w:val="000000"/>
                <w:sz w:val="20"/>
                <w:szCs w:val="20"/>
                <w:lang w:eastAsia="id-ID"/>
              </w:rPr>
              <w:br/>
              <w:t xml:space="preserve">   masyarakat dan bisnis di Kementerian/SKPD </w:t>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6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E45FDA">
              <w:rPr>
                <w:rFonts w:ascii="Times New Roman" w:eastAsia="Times New Roman" w:hAnsi="Times New Roman" w:cs="Times New Roman"/>
                <w:b/>
                <w:bCs/>
                <w:color w:val="000000"/>
                <w:sz w:val="20"/>
                <w:szCs w:val="20"/>
                <w:lang w:eastAsia="id-ID"/>
              </w:rPr>
              <w:br/>
              <w:t xml:space="preserve">  Kementerian/Dinas Kehutanan (Unit Pemberi Izin)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93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FIIb1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59"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yang diberikan saat melakukan pengumpulan dokumen. Hanya disampaikan bahwa lahan yang tumpang tindih adalah antara IUPHHK dan administrasi kampung sekitar hutan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4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c. Jumlah konflik antar sesama penggunaan kawasan hutan </w:t>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FIIc1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 </w:t>
            </w:r>
            <w:r w:rsidRPr="00E45FDA">
              <w:rPr>
                <w:rFonts w:ascii="Times New Roman" w:eastAsia="Times New Roman" w:hAnsi="Times New Roman" w:cs="Times New Roman"/>
                <w:color w:val="000000"/>
                <w:sz w:val="20"/>
                <w:szCs w:val="20"/>
                <w:lang w:eastAsia="id-ID"/>
              </w:rPr>
              <w:lastRenderedPageBreak/>
              <w:t xml:space="preserve">konflik antar sesama penggunaan kawasan hutan </w:t>
            </w:r>
          </w:p>
        </w:tc>
        <w:tc>
          <w:tcPr>
            <w:tcW w:w="1759"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lastRenderedPageBreak/>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w:t>
            </w:r>
          </w:p>
        </w:tc>
      </w:tr>
      <w:tr w:rsidR="00E45FDA" w:rsidRPr="00E45FDA" w:rsidTr="00E45FDA">
        <w:trPr>
          <w:trHeight w:val="1665"/>
        </w:trPr>
        <w:tc>
          <w:tcPr>
            <w:tcW w:w="714"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yang diberikan saat melakukan pengumpulan data. Hanya disampaikan konflik yang terjadi biasanya antara masyarakat dan IUPHHK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 Pemerintah (Pusat &amp; Daerah), LSM, AMAN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praktik terbaik (</w:t>
            </w:r>
            <w:r w:rsidRPr="00E45FDA">
              <w:rPr>
                <w:rFonts w:ascii="Times New Roman" w:eastAsia="Times New Roman" w:hAnsi="Times New Roman" w:cs="Times New Roman"/>
                <w:i/>
                <w:iCs/>
                <w:color w:val="000000"/>
                <w:sz w:val="20"/>
                <w:szCs w:val="20"/>
                <w:lang w:eastAsia="id-ID"/>
              </w:rPr>
              <w:t>best practices</w:t>
            </w:r>
            <w:r w:rsidRPr="00E45FDA">
              <w:rPr>
                <w:rFonts w:ascii="Times New Roman" w:eastAsia="Times New Roman" w:hAnsi="Times New Roman" w:cs="Times New Roman"/>
                <w:color w:val="000000"/>
                <w:sz w:val="20"/>
                <w:szCs w:val="20"/>
                <w:lang w:eastAsia="id-ID"/>
              </w:rPr>
              <w:t>) atas resolusi konflik terkait pengakuan hak masyarakat adat/lokal</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54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praktik terbaik (best practices) atas resolusi konflik terkait pengakuan hak masyarakat adat/ lokal</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tidak pernah tahu apakah ada penyelesaian atau resolusi konflik yang baik</w:t>
            </w:r>
          </w:p>
        </w:tc>
        <w:tc>
          <w:tcPr>
            <w:tcW w:w="1382" w:type="dxa"/>
            <w:tcBorders>
              <w:top w:val="nil"/>
              <w:left w:val="nil"/>
              <w:bottom w:val="single" w:sz="4" w:space="0" w:color="auto"/>
              <w:right w:val="single" w:sz="4" w:space="0" w:color="auto"/>
            </w:tcBorders>
            <w:shd w:val="clear" w:color="000000" w:fill="FFFFFF"/>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57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ada konflik yang diselesaikan, jika ada penyelesaiaan tanpa menyelesaikan akar konfliknya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FIId1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Pencegahan kekerasan</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30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resolusi konflik terkait pengakuan hak masyarakat adat/lokal yang mencakup pencegahan kekerasan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dan tidak tahu</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57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Ya termasuk pencegahan kekerasan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FIId2</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Penyelesaian konflik</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30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resolusi konflik terkait pengakuan masyarakat adat/lokal mencakup penyelesaian konflik</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dan tidak tahu</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47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Ya termasuk didalamnya namun secara prakteknya hal ini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FIId3</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Penerimaan para pihak</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54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resolusi konflik terkait pengakuan hak masyarakat adat/ lokal yang mencakup penerimaan para pihak</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Ya tapi belum tentu dijalankan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65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Penerimaan keputusan secara baik belum ada karena terkadang penyelesaian konflik melibatkan aparat </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FIId4</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Komitmen tetap dijalankan</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5935" w:type="dxa"/>
            <w:gridSpan w:val="4"/>
            <w:tcBorders>
              <w:top w:val="single" w:sz="4" w:space="0" w:color="auto"/>
              <w:left w:val="nil"/>
              <w:bottom w:val="single" w:sz="4" w:space="0" w:color="auto"/>
              <w:right w:val="single" w:sz="4" w:space="0" w:color="000000"/>
            </w:tcBorders>
            <w:shd w:val="clear" w:color="000000" w:fill="FFFF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Responden tidak memberikan dokumen dan menjawab pertanyaan ini </w:t>
            </w:r>
          </w:p>
        </w:tc>
      </w:tr>
      <w:tr w:rsidR="00E45FDA" w:rsidRPr="00E45FDA" w:rsidTr="00E45FDA">
        <w:trPr>
          <w:trHeight w:val="160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dalam resolusi konflik terkait pengakuan hal masyarakat adat/lokal, komitmen yang ada tetap dijalankan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Keseringannya tidak dijalankan </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47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yang ada berupa MoU CFM antara Masyarakat Kampung Long Duhung dan HPH PT. MIM, dan 4 kampung di hulu Kelay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berjalan, karena ada beberapa keputusan yang katanya komitmen tapi dalam prakteknya tidak ada misalnya dalam pendampingan dimasayrakat</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E45FDA" w:rsidRPr="00E45FDA" w:rsidTr="00E45FDA">
        <w:trPr>
          <w:trHeight w:val="25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 Media cetak</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6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FIIe1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Jumlah/frekuensi  dan kualitas pemberitaan terkait pengakuan hak masy </w:t>
            </w:r>
            <w:r w:rsidRPr="00E45FDA">
              <w:rPr>
                <w:rFonts w:ascii="Times New Roman" w:eastAsia="Times New Roman" w:hAnsi="Times New Roman" w:cs="Times New Roman"/>
                <w:color w:val="000000"/>
                <w:sz w:val="20"/>
                <w:szCs w:val="20"/>
                <w:lang w:eastAsia="id-ID"/>
              </w:rPr>
              <w:lastRenderedPageBreak/>
              <w:t>adat/lokal meningkat</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Apakah jumlah/frekuensi  dan kua-litas pemberitaan terkait pengaku-an hak masy adat/lokal mening-</w:t>
            </w:r>
            <w:r w:rsidRPr="00E45FDA">
              <w:rPr>
                <w:rFonts w:ascii="Times New Roman" w:eastAsia="Times New Roman" w:hAnsi="Times New Roman" w:cs="Times New Roman"/>
                <w:color w:val="000000"/>
                <w:sz w:val="20"/>
                <w:szCs w:val="20"/>
                <w:lang w:eastAsia="id-ID"/>
              </w:rPr>
              <w:lastRenderedPageBreak/>
              <w:t>kat?</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Jurnalis</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berita spesifik tentang pemberitaan terkait pengakuan hak masyarakt adat/ lokal</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Konflik yang sering dilaporkan kepada media adalah konflik yang terjadi pada tambang </w:t>
            </w:r>
            <w:r w:rsidRPr="00E45FDA">
              <w:rPr>
                <w:rFonts w:ascii="Times New Roman" w:eastAsia="Times New Roman" w:hAnsi="Times New Roman" w:cs="Times New Roman"/>
                <w:color w:val="000000"/>
                <w:sz w:val="20"/>
                <w:szCs w:val="20"/>
                <w:lang w:eastAsia="id-ID"/>
              </w:rPr>
              <w:lastRenderedPageBreak/>
              <w:t>Berau Coal. Namun secara pemberitaan hal tersebut kurang dilakukan karena kadang sifatnya personal.</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2</w:t>
            </w:r>
          </w:p>
        </w:tc>
      </w:tr>
      <w:tr w:rsidR="00E45FDA" w:rsidRPr="00E45FDA" w:rsidTr="00E45FDA">
        <w:trPr>
          <w:trHeight w:val="13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FIIe2</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Cakupan berita  mengenai pengakuan pejabat atas hak masyarakat adat</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Jurnalis</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cakupan berita mengenai pengakuan pejabat atas hak masyarakat adat </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12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FIIe3</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Posisi berita dalam media cetak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Posisi berita dalam media cetak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Jurnalis</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Tidaka ada dokumen terkait posisi berita dalam media cetak</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Tergantung isu beritanya karena perubahan berita sangat cepat. Kaltimpost secara jujur belum namun tidak dipungkiri suatu saat.</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5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FIIe4</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Posisi media dalam pemberitaan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Posisi media dalam pemberitaan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Jurnalis</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tidaka ada dokumen terkait posisi media dalam pemberitaan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Kaltimpost secara jujur belum namun tidak dipungkiri suatu saat. Karena ini murni bisnis, apalagi kaltimpost sudah mengambil sekmen menengah ke atas.</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793" w:type="dxa"/>
            <w:gridSpan w:val="3"/>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5710" w:type="dxa"/>
            <w:gridSpan w:val="4"/>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Wawancara – 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Pengusaha, Organisasi Masyarakat Adat, LSM</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3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FIIIa1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biaya transaksi pengurusan izin pengelolaan hutan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biaya transaksi pengurusan izin pengelolaan hutan</w:t>
            </w: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biaya transaksi pengurusan izin pengelolaan hutan yang diketahui oleh responden baik pusat, propinsi maupun daerah.</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vMerge w:val="restart"/>
            <w:tcBorders>
              <w:top w:val="nil"/>
              <w:left w:val="single" w:sz="4" w:space="0" w:color="auto"/>
              <w:bottom w:val="single" w:sz="4" w:space="0" w:color="000000"/>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Responden tidak mengetahu berapa besar biaya transaksi pengurusan izin pengelolaan hutan</w:t>
            </w:r>
          </w:p>
        </w:tc>
        <w:tc>
          <w:tcPr>
            <w:tcW w:w="138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118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FFF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690"/>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9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lastRenderedPageBreak/>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E45FDA">
              <w:rPr>
                <w:rFonts w:ascii="Times New Roman" w:eastAsia="Times New Roman" w:hAnsi="Times New Roman" w:cs="Times New Roman"/>
                <w:b/>
                <w:bCs/>
                <w:color w:val="000000"/>
                <w:sz w:val="20"/>
                <w:szCs w:val="20"/>
                <w:lang w:eastAsia="id-ID"/>
              </w:rPr>
              <w:br/>
              <w:t xml:space="preserve">  pemegang ijin</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Peraturan Prosedur Pelaksanaan Pengurusan Izin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4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FIIIb1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tahapan dan bentuk persyaratan setiap tahapan dalam pengurusan izin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Dalam dokumen Keputusan Kepala Dinas Kehutanan Kebupaten Berau No 067/113/SK/DKB.I tentang Standar Pelayanan Kabupaten Berau Dishut Kab. Berau tidak tercantum tahapan dan bentuk persyaratan tahap dalam pengurusan izin. Perda Bupati Berau No.13 2012 tentang Tata Cara Pemberian, Pengawasan, dan Pengendalian Izin Lokasi di kabupaten Berau . Lainya berdasarkan pada UU, PP, Kepres, Permenhut dan Perda lainnya.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156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BPN/Tata Ruang</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Untuk pengurusan izin ada di pemerintahan dan BPPT. Dinas Tata Ruang tidak memiliki dan mengetahui mengenai hal ini.</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94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Dinas Pertanian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berupa Perda No.16 2012 tentang Izin Usaha Budidaya Tanaman Pangan.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793" w:type="dxa"/>
            <w:gridSpan w:val="3"/>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5710" w:type="dxa"/>
            <w:gridSpan w:val="4"/>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3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E45FDA">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34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lastRenderedPageBreak/>
              <w:t>FIVa1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59" w:type="dxa"/>
            <w:vMerge w:val="restart"/>
            <w:tcBorders>
              <w:top w:val="nil"/>
              <w:left w:val="single" w:sz="4" w:space="0" w:color="auto"/>
              <w:bottom w:val="single" w:sz="4" w:space="0" w:color="000000"/>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Hutan Desa 1 usulan dari kampung Merabu.  HTR 4 usulan dari kampung Pilanjau, Tabalar Ulu, Suaran dan Makmur Jaya. HKm tidak diperoleh data karena usulan proposal tidak berada di kator namun dibawa pulang oleh staf yang bertugas</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4</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1200"/>
        </w:trPr>
        <w:tc>
          <w:tcPr>
            <w:tcW w:w="714"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Tata Ruang </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usulan kelompok masyarakat adat/ lokal karena langsung kepada SKPD yang bersangkutan (hal teknis)</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730"/>
        </w:trPr>
        <w:tc>
          <w:tcPr>
            <w:tcW w:w="714"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Dinas Pertanian</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Usulan HTR kampung Bukit Makmur Jaya, Tabalar Ulu, Pilanjau, Suaran,  . Pembukaan lahan tidur kampung Tumbit Dayak. Bantuan bibit buah kampung Tanjung Perangat. Selebihnya adalah usulan untuk saluran irigasi dan jalan usaha tani, persawahan dan peralatan pertanian.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4</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93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FIVb1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Berapakah jumlah IUPHHK di Kab. Berau dan ada berapa yang telah mengikuti skema SVLK dan FSC?</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Tabel data IUPHHK-HA/ HTI di Kabupaten Berau Propindi Kaltim sebanyak 27 ijin. IUPHHK-HA yang mengikuti skema FSC adalah PT. RKR saat ini telah melakukan pre-assessment</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c. Persentase hutan yang memiliki pengelola (KPH)</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Kehutanan &amp; Dinas Kehutanan (Provinsi &amp; Kabupaten)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1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FIVc1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Persentase hutan yang memiliki pengelola (KPH)</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Berapa jumlah KPH yang ada di Kabupaten Berau dan apa saja?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presentasi KPH_M BB pusdal 012. KPH Berau Barat Unit XI 786,021ha, KPH Berau Utara Unit VI 322,439 ha, KPH Berau tengah Unit XV 362,229 ha dan KPH Berau Pantai Unit XVI 193,180 ha.</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4</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30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FIVd1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pengelolaan hutan berbasis ecological services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ada pengelolaan hutan berbasis ecological services, jika ada ada berapa banyak dan apa saja?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terkait jumlah pengelolaan hutan berbasis ecological services tidak diberikan oleh Dinas Kehutan. Selain hutan lindung yang ada di Kabupaten Berau juga terdapat Kawsan Lindung Sungai Lesan sebagai Habitat Orangutan. Saat ini sedang menyusun SK untuk Kawasan Lindung Labuan Cermin.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793" w:type="dxa"/>
            <w:gridSpan w:val="3"/>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5710" w:type="dxa"/>
            <w:gridSpan w:val="4"/>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Laporan Inspektorat, BPKP &amp; BPK, Bawasda</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2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FVa1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pelanggaran pengguna-an anggaran di tingkat provinsi dan kab/kota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BPK, BAWASDA, INSPEKTORAT</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tidak dapat diberikan karena sifatnya rahasia</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lastRenderedPageBreak/>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Kementrian &amp; Dinas Kehutanan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41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FVb1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Jumlah sanksi administratif serius (pencabutan izin, dan denda, yang telah dijatuhkan)</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Dokumen terkait jumlah sanksi administrasi serius (pencabutan izin dan denda yang telah dijatuhkan) tidak diberikan oleh dinas kehutanan. Hanya menyampaikan bahwa pelanggaran hanya berupa adminstrasi saja dengan sanksi teguran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Kepolisian (Nasional &amp; Daerah)</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4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FVc1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kasus pidana kehutanan yang diajukan/diproses oleh polisi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Adakah kasus pidana kehutana yang masuk ke Polres Berau, jika ada dalam hal apa dan berapa banyak jumlahnya dalam 5 tahun terakhir?</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Polres</w:t>
            </w:r>
          </w:p>
        </w:tc>
        <w:tc>
          <w:tcPr>
            <w:tcW w:w="1828" w:type="dxa"/>
            <w:tcBorders>
              <w:top w:val="nil"/>
              <w:left w:val="nil"/>
              <w:bottom w:val="single" w:sz="4" w:space="0" w:color="auto"/>
              <w:right w:val="single" w:sz="4" w:space="0" w:color="auto"/>
            </w:tcBorders>
            <w:shd w:val="clear" w:color="auto" w:fill="auto"/>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Data berupa laporan polisi tentang kasus Illegal Loging tahun 2006-2010 dan 2012. terdapat 187 kasus</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4</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58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E45FDA">
              <w:rPr>
                <w:rFonts w:ascii="Times New Roman" w:eastAsia="Times New Roman" w:hAnsi="Times New Roman" w:cs="Times New Roman"/>
                <w:b/>
                <w:bCs/>
                <w:color w:val="000000"/>
                <w:sz w:val="20"/>
                <w:szCs w:val="20"/>
                <w:lang w:eastAsia="id-ID"/>
              </w:rPr>
              <w:br/>
              <w:t xml:space="preserve">  diputuskan oleh MA</w:t>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Kepolisian (Nasional &amp; Daerah)</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5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FVd1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Polres</w:t>
            </w:r>
          </w:p>
        </w:tc>
        <w:tc>
          <w:tcPr>
            <w:tcW w:w="1828" w:type="dxa"/>
            <w:tcBorders>
              <w:top w:val="nil"/>
              <w:left w:val="nil"/>
              <w:bottom w:val="single" w:sz="4" w:space="0" w:color="auto"/>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Tidak ada dokumen terkait jumlah kasus kehutanan (korupsi, AML, Pidana, LH atau Pajak yang terkait kehutanan) hanya kasus illegal logging </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e. Index integritas KPK sektor kehutanan</w:t>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lastRenderedPageBreak/>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Hasil Survai KPK tentang Integritas</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FVe1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Index integritas KPK sektor kehutanan</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000000" w:fill="F2DDDC"/>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KPK &amp; TII</w:t>
            </w:r>
          </w:p>
        </w:tc>
        <w:tc>
          <w:tcPr>
            <w:tcW w:w="3031" w:type="dxa"/>
            <w:gridSpan w:val="2"/>
            <w:tcBorders>
              <w:top w:val="single" w:sz="4" w:space="0" w:color="auto"/>
              <w:left w:val="nil"/>
              <w:bottom w:val="single" w:sz="4" w:space="0" w:color="auto"/>
              <w:right w:val="single" w:sz="4" w:space="0" w:color="000000"/>
            </w:tcBorders>
            <w:shd w:val="clear" w:color="000000" w:fill="F2DDDC"/>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KPK dan TII di Kabupaten Berau</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f. Index persepsi korupsi di lokasi assesmen (TII)</w:t>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Hasil Survai Persepsi Transparansi Internasional Indonesia (TII)</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FVf1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Index persepsi korupsi di lokasi assesmen (TII)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000000" w:fill="F2DDDC"/>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KPK &amp; TII</w:t>
            </w:r>
          </w:p>
        </w:tc>
        <w:tc>
          <w:tcPr>
            <w:tcW w:w="3031" w:type="dxa"/>
            <w:gridSpan w:val="2"/>
            <w:tcBorders>
              <w:top w:val="single" w:sz="4" w:space="0" w:color="auto"/>
              <w:left w:val="nil"/>
              <w:bottom w:val="single" w:sz="4" w:space="0" w:color="auto"/>
              <w:right w:val="single" w:sz="4" w:space="0" w:color="000000"/>
            </w:tcBorders>
            <w:shd w:val="clear" w:color="000000" w:fill="F2DDDC"/>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KPK dan TII di Kabupaten Berau</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15"/>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E45FDA">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Laporan BPK</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FVg1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BPK, BAWASDA, INSPEKTORAT</w:t>
            </w:r>
          </w:p>
        </w:tc>
        <w:tc>
          <w:tcPr>
            <w:tcW w:w="1828"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tidak dapat diberikan karena sifatnya rahasia. Hanya dijelaskan tahun 2009 terjadi kerugian terkait DR-PSDH namun tidak disebutkan berapa besar nilainya.</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h. Jumlah pengaduan masyarakat tentang kinerja pengelolaan hutan</w:t>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r>
            <w:r w:rsidRPr="00E45FDA">
              <w:rPr>
                <w:rFonts w:ascii="Times New Roman" w:eastAsia="Times New Roman" w:hAnsi="Times New Roman" w:cs="Times New Roman"/>
                <w:b/>
                <w:bCs/>
                <w:color w:val="000000"/>
                <w:sz w:val="20"/>
                <w:szCs w:val="20"/>
                <w:lang w:eastAsia="id-ID"/>
              </w:rPr>
              <w:br/>
              <w:t xml:space="preserve"> </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lastRenderedPageBreak/>
              <w:t>Sumber data</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0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FVh1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r w:rsidRPr="00E45FDA">
              <w:rPr>
                <w:rFonts w:ascii="Times New Roman" w:eastAsia="Times New Roman" w:hAnsi="Times New Roman" w:cs="Times New Roman"/>
                <w:sz w:val="20"/>
                <w:szCs w:val="20"/>
                <w:lang w:eastAsia="id-ID"/>
              </w:rPr>
              <w:t xml:space="preserve">Jumlah pengaduan masyarakat tentang kinerja pengelolaan hutan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jumlah pengaduan masyarakat tentang kinerja pengelolaan hutan</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sz w:val="20"/>
                <w:szCs w:val="20"/>
                <w:lang w:eastAsia="id-ID"/>
              </w:rPr>
            </w:pPr>
          </w:p>
        </w:tc>
        <w:tc>
          <w:tcPr>
            <w:tcW w:w="1320"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255"/>
        </w:trPr>
        <w:tc>
          <w:tcPr>
            <w:tcW w:w="3793" w:type="dxa"/>
            <w:gridSpan w:val="3"/>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Isu dalam PGA REDD+</w:t>
            </w:r>
          </w:p>
        </w:tc>
        <w:tc>
          <w:tcPr>
            <w:tcW w:w="5710" w:type="dxa"/>
            <w:gridSpan w:val="4"/>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FVIa1</w:t>
            </w:r>
          </w:p>
        </w:tc>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vMerge w:val="restart"/>
            <w:tcBorders>
              <w:top w:val="nil"/>
              <w:left w:val="single" w:sz="4" w:space="0" w:color="auto"/>
              <w:bottom w:val="single" w:sz="4" w:space="0" w:color="000000"/>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ada dokumen terkait jumlah kelompok masyarakat adat/lokal dan bisnis yang dapat akses di dalam lokasi REDD+</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99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Satgas REDD+</w:t>
            </w:r>
          </w:p>
        </w:tc>
        <w:tc>
          <w:tcPr>
            <w:tcW w:w="1828"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b. Tingkat penerimaan Strategi REDD+ oleh para aktor</w:t>
            </w:r>
            <w:r w:rsidRPr="00E45FDA">
              <w:rPr>
                <w:rFonts w:ascii="Times New Roman" w:eastAsia="Times New Roman" w:hAnsi="Times New Roman" w:cs="Times New Roman"/>
                <w:b/>
                <w:bCs/>
                <w:color w:val="000000"/>
                <w:sz w:val="20"/>
                <w:szCs w:val="20"/>
                <w:lang w:eastAsia="id-ID"/>
              </w:rPr>
              <w:br/>
            </w:r>
          </w:p>
        </w:tc>
      </w:tr>
      <w:tr w:rsidR="00E45FDA" w:rsidRPr="00E45FDA" w:rsidTr="00E45FDA">
        <w:trPr>
          <w:trHeight w:val="66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8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FVIb1</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Bagaimana penerimaan Strate-gi REDD+ oleh para aktor?</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Penerimaan strategi oleh para aktor terhadap REDD+ sangat diterima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418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Bappeda</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Birokrat sependapat dengan REDD+ karena sebelum ada REDD+,  konsep di Kabupaten Berau adalah pembangunan yang berkelanjutan. Salah satunya adalah KBNK ditetapkan sebagai kawasan konservasi seluas 11.000 ha, KBNK  diseleksi yang tidak memenuhi syarat untuk dibudidaya seperti di Kelay dan Segah kebijakan untuk pembangunan berkelanjutan. REDD+ tidak masalah semua pikah menerima itu namun yang lebih penting pada tingkat tapak (masyarakat).</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5</w:t>
            </w:r>
          </w:p>
        </w:tc>
      </w:tr>
      <w:tr w:rsidR="00E45FDA" w:rsidRPr="00E45FDA" w:rsidTr="00E45FDA">
        <w:trPr>
          <w:trHeight w:val="99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maksimal penerimaan tentang strategi oleh para stakeholder</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153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nil"/>
              <w:right w:val="nil"/>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Bicara scope masayrakat. Karena masyarakat belum tahu strategi REDD maka belum tahu apakah diterima atau tidak karenbelum secara jelas mengetahui dampak positif dan negatifnya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91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FVIb2</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Kelembagaan REDD+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Sudah ada kelembagaan untuk lokasi DA REDD+ yaitu DPMU forclime dan </w:t>
            </w:r>
            <w:r w:rsidRPr="00E45FDA">
              <w:rPr>
                <w:rFonts w:ascii="Times New Roman" w:eastAsia="Times New Roman" w:hAnsi="Times New Roman" w:cs="Times New Roman"/>
                <w:color w:val="000000"/>
                <w:sz w:val="20"/>
                <w:szCs w:val="20"/>
                <w:lang w:eastAsia="id-ID"/>
              </w:rPr>
              <w:lastRenderedPageBreak/>
              <w:t>SK Pokja REDD+</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4</w:t>
            </w:r>
          </w:p>
        </w:tc>
      </w:tr>
      <w:tr w:rsidR="00E45FDA" w:rsidRPr="00E45FDA" w:rsidTr="00E45FDA">
        <w:trPr>
          <w:trHeight w:val="382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Bappeda</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Kelembagaan belum dapat memberikan pendapat apakah sudah memadai atau beluam karena REDD+ diinisiasi oleh lembaga (LSM TNC). Di birokrat perhatian dan energi dari pemerintah tidak terkuras disitu. Pemerintah hanya ikut dalam rapat-rapat dan saat ini baru dimulai tidak tahu nanti dalam perkembangan perlu kelembagaan yang lebih luas lagi dan kompleks.kalau selama ini dianggap sudah cukup</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51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Sudah dalam hal ini sekertariatan POKJA REDD+</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76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nil"/>
              <w:right w:val="nil"/>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karena tidak melibatkan masayrakat karena REDD mencakup semua kepentingan masayrakat</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84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FVIb3</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Kerangka Pengaman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kerangka pengaman sudah memadai dengan dikembangkannya peraturan-peraturan perundangan tentang pengurangan emisi karbon dari deforestasi </w:t>
            </w:r>
            <w:r w:rsidRPr="00E45FDA">
              <w:rPr>
                <w:rFonts w:ascii="Times New Roman" w:eastAsia="Times New Roman" w:hAnsi="Times New Roman" w:cs="Times New Roman"/>
                <w:color w:val="000000"/>
                <w:sz w:val="20"/>
                <w:szCs w:val="20"/>
                <w:lang w:eastAsia="id-ID"/>
              </w:rPr>
              <w:lastRenderedPageBreak/>
              <w:t>dan degradasi hutan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lastRenderedPageBreak/>
              <w:t>3</w:t>
            </w:r>
          </w:p>
        </w:tc>
      </w:tr>
      <w:tr w:rsidR="00E45FDA" w:rsidRPr="00E45FDA" w:rsidTr="00E45FDA">
        <w:trPr>
          <w:trHeight w:val="178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Bappeda</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Cukup memadai dengan diterima strategi REDD+  dan kelembagaannya. Hal tersebut dilihat juga dengan tidak ada persoalan dilapangan dengan artian penerimaan. Namun sampai saat ini MRV belum ada.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3</w:t>
            </w:r>
          </w:p>
        </w:tc>
      </w:tr>
      <w:tr w:rsidR="00E45FDA" w:rsidRPr="00E45FDA" w:rsidTr="00E45FDA">
        <w:trPr>
          <w:trHeight w:val="73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Belum memadai karena belum ada kerangka pengamanan</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14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nil"/>
              <w:right w:val="nil"/>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REDD berhubung dengan alam. Kerangka pengamanan belum maksimal. Ada aturan-aturan tapi yang melaksanakan tidak serius</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FVIb4</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759" w:type="dxa"/>
            <w:vMerge w:val="restart"/>
            <w:tcBorders>
              <w:top w:val="nil"/>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Apakah (mekanisme) MRV sudah memadai?</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single" w:sz="4" w:space="0" w:color="auto"/>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MRV 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2</w:t>
            </w:r>
          </w:p>
        </w:tc>
      </w:tr>
      <w:tr w:rsidR="00E45FDA" w:rsidRPr="00E45FDA" w:rsidTr="00E45FDA">
        <w:trPr>
          <w:trHeight w:val="232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Bappeda</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MRV, sebagain besar di birokrat belum tahu atau bingung. Yang tahu hanya dari kalangan yang sering ikut workshop. Yang lain mungkin bingung memerlukan bahasa sederhana. Di Bappeda barangkali hanya di bidang ekonomi saja yang tahu.</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1290"/>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LSM</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apa yang dimaksud dengan MRV sehingga tidak tahu apakah mekanismenya sudah ada atau belum</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765"/>
        </w:trPr>
        <w:tc>
          <w:tcPr>
            <w:tcW w:w="714"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759" w:type="dxa"/>
            <w:vMerge/>
            <w:tcBorders>
              <w:top w:val="nil"/>
              <w:left w:val="single" w:sz="4" w:space="0" w:color="auto"/>
              <w:bottom w:val="single" w:sz="4" w:space="0" w:color="auto"/>
              <w:right w:val="single" w:sz="4" w:space="0" w:color="auto"/>
            </w:tcBorders>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Organisasi Masyarakat Adat Lokal</w:t>
            </w:r>
          </w:p>
        </w:tc>
        <w:tc>
          <w:tcPr>
            <w:tcW w:w="1828"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522" w:type="dxa"/>
            <w:tcBorders>
              <w:top w:val="nil"/>
              <w:left w:val="nil"/>
              <w:bottom w:val="single" w:sz="4" w:space="0" w:color="auto"/>
              <w:right w:val="single" w:sz="4" w:space="0" w:color="auto"/>
            </w:tcBorders>
            <w:shd w:val="clear" w:color="auto" w:fill="auto"/>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Tidak tahu apa iti MRV dan dari penyampaian yang tadi hal tersebut belum ada</w:t>
            </w:r>
          </w:p>
        </w:tc>
        <w:tc>
          <w:tcPr>
            <w:tcW w:w="1382" w:type="dxa"/>
            <w:tcBorders>
              <w:top w:val="nil"/>
              <w:left w:val="nil"/>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r>
      <w:tr w:rsidR="00E45FDA" w:rsidRPr="00E45FDA" w:rsidTr="00E45FDA">
        <w:trPr>
          <w:trHeight w:val="255"/>
        </w:trPr>
        <w:tc>
          <w:tcPr>
            <w:tcW w:w="714"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c. Tingkat deforestasi di lokasi assesmen</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0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FVIc1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Tingkat deforestasi di lokasi assesmen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terkait tingkat ddeforestasi di lokasi assessmen tidak diberikan oleh responden</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d. Tingkat degradasi hutan di lokasi assesmen</w:t>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9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FVId1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Tingkat degradasi hutan di lokasi assesmen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terkait tingkat degradasi di lokasi assessmen tidak diberikan oleh responden</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r w:rsidR="00E45FDA" w:rsidRPr="00E45FDA" w:rsidTr="00E45FDA">
        <w:trPr>
          <w:trHeight w:val="255"/>
        </w:trPr>
        <w:tc>
          <w:tcPr>
            <w:tcW w:w="714"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828"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c>
          <w:tcPr>
            <w:tcW w:w="152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p>
        </w:tc>
      </w:tr>
      <w:tr w:rsidR="00E45FDA" w:rsidRPr="00E45FDA" w:rsidTr="00E45FDA">
        <w:trPr>
          <w:trHeight w:val="6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Indikator</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p>
        </w:tc>
        <w:tc>
          <w:tcPr>
            <w:tcW w:w="7092" w:type="dxa"/>
            <w:gridSpan w:val="5"/>
            <w:tcBorders>
              <w:top w:val="nil"/>
              <w:left w:val="nil"/>
              <w:bottom w:val="nil"/>
              <w:right w:val="nil"/>
            </w:tcBorders>
            <w:shd w:val="clear" w:color="auto" w:fill="auto"/>
            <w:vAlign w:val="center"/>
            <w:hideMark/>
          </w:tcPr>
          <w:p w:rsidR="00E45FDA" w:rsidRPr="00E45FDA" w:rsidRDefault="00E45FDA" w:rsidP="00E45FDA">
            <w:pPr>
              <w:spacing w:after="24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E45FDA">
              <w:rPr>
                <w:rFonts w:ascii="Times New Roman" w:eastAsia="Times New Roman" w:hAnsi="Times New Roman" w:cs="Times New Roman"/>
                <w:b/>
                <w:bCs/>
                <w:color w:val="000000"/>
                <w:sz w:val="20"/>
                <w:szCs w:val="20"/>
                <w:lang w:eastAsia="id-ID"/>
              </w:rPr>
              <w:br/>
              <w:t xml:space="preserve">  REDD+ (demonstration ativities)</w:t>
            </w:r>
            <w:r w:rsidRPr="00E45FDA">
              <w:rPr>
                <w:rFonts w:ascii="Times New Roman" w:eastAsia="Times New Roman" w:hAnsi="Times New Roman" w:cs="Times New Roman"/>
                <w:b/>
                <w:bCs/>
                <w:color w:val="000000"/>
                <w:sz w:val="20"/>
                <w:szCs w:val="20"/>
                <w:lang w:eastAsia="id-ID"/>
              </w:rPr>
              <w:br/>
            </w:r>
          </w:p>
        </w:tc>
      </w:tr>
      <w:tr w:rsidR="00E45FDA" w:rsidRPr="00E45FDA" w:rsidTr="00E45FDA">
        <w:trPr>
          <w:trHeight w:val="300"/>
        </w:trPr>
        <w:tc>
          <w:tcPr>
            <w:tcW w:w="2034" w:type="dxa"/>
            <w:gridSpan w:val="2"/>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informasi</w:t>
            </w:r>
          </w:p>
        </w:tc>
        <w:tc>
          <w:tcPr>
            <w:tcW w:w="1759" w:type="dxa"/>
            <w:tcBorders>
              <w:top w:val="nil"/>
              <w:left w:val="nil"/>
              <w:bottom w:val="nil"/>
              <w:right w:val="nil"/>
            </w:tcBorders>
            <w:shd w:val="clear" w:color="auto" w:fill="auto"/>
            <w:noWrap/>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p>
        </w:tc>
        <w:tc>
          <w:tcPr>
            <w:tcW w:w="7092" w:type="dxa"/>
            <w:gridSpan w:val="5"/>
            <w:tcBorders>
              <w:top w:val="nil"/>
              <w:left w:val="nil"/>
              <w:bottom w:val="single" w:sz="4" w:space="0" w:color="auto"/>
              <w:right w:val="nil"/>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 Kementerian &amp; Dinas Kehutanan</w:t>
            </w:r>
          </w:p>
        </w:tc>
      </w:tr>
      <w:tr w:rsidR="00E45FDA" w:rsidRPr="00E45FDA" w:rsidTr="00E45FD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Panduan Analisis Dokumen</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Pertanyaan Wawancara</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Sumber Data</w:t>
            </w:r>
          </w:p>
        </w:tc>
        <w:tc>
          <w:tcPr>
            <w:tcW w:w="1828"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Dokumen</w:t>
            </w:r>
          </w:p>
        </w:tc>
        <w:tc>
          <w:tcPr>
            <w:tcW w:w="152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b/>
                <w:bCs/>
                <w:color w:val="000000"/>
                <w:sz w:val="20"/>
                <w:szCs w:val="20"/>
                <w:lang w:eastAsia="id-ID"/>
              </w:rPr>
            </w:pPr>
            <w:r w:rsidRPr="00E45FDA">
              <w:rPr>
                <w:rFonts w:ascii="Times New Roman" w:eastAsia="Times New Roman" w:hAnsi="Times New Roman" w:cs="Times New Roman"/>
                <w:b/>
                <w:bCs/>
                <w:color w:val="000000"/>
                <w:sz w:val="20"/>
                <w:szCs w:val="20"/>
                <w:lang w:eastAsia="id-ID"/>
              </w:rPr>
              <w:t>Kategori Data Wawancara</w:t>
            </w:r>
          </w:p>
        </w:tc>
      </w:tr>
      <w:tr w:rsidR="00E45FDA" w:rsidRPr="00E45FDA" w:rsidTr="00E45FDA">
        <w:trPr>
          <w:trHeight w:val="17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FVIe1</w:t>
            </w:r>
          </w:p>
        </w:tc>
        <w:tc>
          <w:tcPr>
            <w:tcW w:w="1320"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59"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157" w:type="dxa"/>
            <w:tcBorders>
              <w:top w:val="nil"/>
              <w:left w:val="nil"/>
              <w:bottom w:val="single" w:sz="4" w:space="0" w:color="auto"/>
              <w:right w:val="single" w:sz="4" w:space="0" w:color="auto"/>
            </w:tcBorders>
            <w:shd w:val="clear" w:color="auto" w:fill="auto"/>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Kehutanan</w:t>
            </w:r>
          </w:p>
        </w:tc>
        <w:tc>
          <w:tcPr>
            <w:tcW w:w="1828" w:type="dxa"/>
            <w:tcBorders>
              <w:top w:val="nil"/>
              <w:left w:val="nil"/>
              <w:bottom w:val="single" w:sz="4" w:space="0" w:color="auto"/>
              <w:right w:val="single" w:sz="4" w:space="0" w:color="auto"/>
            </w:tcBorders>
            <w:shd w:val="clear" w:color="000000" w:fill="FFFFFF"/>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Dokumen terkait jumlah kawasan yang dikelola secara berkelanjutan oleh pelaku pengelolaan hutan dalam pelaksanaan REDD+ (DA) tidak diberikan oleh responden</w:t>
            </w:r>
          </w:p>
        </w:tc>
        <w:tc>
          <w:tcPr>
            <w:tcW w:w="1203" w:type="dxa"/>
            <w:tcBorders>
              <w:top w:val="nil"/>
              <w:left w:val="nil"/>
              <w:bottom w:val="single" w:sz="4" w:space="0" w:color="auto"/>
              <w:right w:val="single" w:sz="4" w:space="0" w:color="auto"/>
            </w:tcBorders>
            <w:shd w:val="clear" w:color="000000" w:fill="FFFFFF"/>
            <w:vAlign w:val="center"/>
            <w:hideMark/>
          </w:tcPr>
          <w:p w:rsidR="00E45FDA" w:rsidRPr="00E45FDA" w:rsidRDefault="00E45FDA" w:rsidP="00E45FDA">
            <w:pPr>
              <w:spacing w:after="0" w:line="240" w:lineRule="auto"/>
              <w:jc w:val="center"/>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1</w:t>
            </w:r>
          </w:p>
        </w:tc>
        <w:tc>
          <w:tcPr>
            <w:tcW w:w="152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E45FDA" w:rsidRPr="00E45FDA" w:rsidRDefault="00E45FDA" w:rsidP="00E45FDA">
            <w:pPr>
              <w:spacing w:after="0" w:line="240" w:lineRule="auto"/>
              <w:rPr>
                <w:rFonts w:ascii="Times New Roman" w:eastAsia="Times New Roman" w:hAnsi="Times New Roman" w:cs="Times New Roman"/>
                <w:color w:val="000000"/>
                <w:sz w:val="20"/>
                <w:szCs w:val="20"/>
                <w:lang w:eastAsia="id-ID"/>
              </w:rPr>
            </w:pPr>
            <w:r w:rsidRPr="00E45FDA">
              <w:rPr>
                <w:rFonts w:ascii="Times New Roman" w:eastAsia="Times New Roman" w:hAnsi="Times New Roman" w:cs="Times New Roman"/>
                <w:color w:val="000000"/>
                <w:sz w:val="20"/>
                <w:szCs w:val="20"/>
                <w:lang w:eastAsia="id-ID"/>
              </w:rPr>
              <w:t> </w:t>
            </w:r>
          </w:p>
        </w:tc>
      </w:tr>
    </w:tbl>
    <w:p w:rsidR="00E45FDA" w:rsidRDefault="00E45FDA"/>
    <w:sectPr w:rsidR="00E45FD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221B7"/>
    <w:rsid w:val="0026067C"/>
    <w:rsid w:val="00265D91"/>
    <w:rsid w:val="004165D1"/>
    <w:rsid w:val="004570C7"/>
    <w:rsid w:val="005D2D3D"/>
    <w:rsid w:val="006E5970"/>
    <w:rsid w:val="009F3E98"/>
    <w:rsid w:val="00A91768"/>
    <w:rsid w:val="00BB5203"/>
    <w:rsid w:val="00C622FE"/>
    <w:rsid w:val="00D74DB4"/>
    <w:rsid w:val="00D9058A"/>
    <w:rsid w:val="00E45FD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E45FDA"/>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E45FDA"/>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E45F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E45FD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1">
    <w:name w:val="xl121"/>
    <w:basedOn w:val="Normal"/>
    <w:rsid w:val="00E45FD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2">
    <w:name w:val="xl122"/>
    <w:basedOn w:val="Normal"/>
    <w:rsid w:val="00E45FD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3">
    <w:name w:val="xl123"/>
    <w:basedOn w:val="Normal"/>
    <w:rsid w:val="00E45FDA"/>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E45FDA"/>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5">
    <w:name w:val="xl125"/>
    <w:basedOn w:val="Normal"/>
    <w:rsid w:val="00E45FD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6">
    <w:name w:val="xl126"/>
    <w:basedOn w:val="Normal"/>
    <w:rsid w:val="00E45FD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7">
    <w:name w:val="xl127"/>
    <w:basedOn w:val="Normal"/>
    <w:rsid w:val="00E45FD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8">
    <w:name w:val="xl128"/>
    <w:basedOn w:val="Normal"/>
    <w:rsid w:val="00E45FD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9">
    <w:name w:val="xl129"/>
    <w:basedOn w:val="Normal"/>
    <w:rsid w:val="00E45FD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30">
    <w:name w:val="xl130"/>
    <w:basedOn w:val="Normal"/>
    <w:rsid w:val="00E45F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FF00"/>
      <w:sz w:val="20"/>
      <w:szCs w:val="20"/>
      <w:lang w:eastAsia="id-ID"/>
    </w:rPr>
  </w:style>
  <w:style w:type="paragraph" w:customStyle="1" w:styleId="xl131">
    <w:name w:val="xl131"/>
    <w:basedOn w:val="Normal"/>
    <w:rsid w:val="00E45FD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32">
    <w:name w:val="xl132"/>
    <w:basedOn w:val="Normal"/>
    <w:rsid w:val="00E45FD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34499483">
      <w:bodyDiv w:val="1"/>
      <w:marLeft w:val="0"/>
      <w:marRight w:val="0"/>
      <w:marTop w:val="0"/>
      <w:marBottom w:val="0"/>
      <w:divBdr>
        <w:top w:val="none" w:sz="0" w:space="0" w:color="auto"/>
        <w:left w:val="none" w:sz="0" w:space="0" w:color="auto"/>
        <w:bottom w:val="none" w:sz="0" w:space="0" w:color="auto"/>
        <w:right w:val="none" w:sz="0" w:space="0" w:color="auto"/>
      </w:divBdr>
    </w:div>
    <w:div w:id="1196653911">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4825</Words>
  <Characters>27507</Characters>
  <Application>Microsoft Office Word</Application>
  <DocSecurity>0</DocSecurity>
  <Lines>229</Lines>
  <Paragraphs>64</Paragraphs>
  <ScaleCrop>false</ScaleCrop>
  <Company/>
  <LinksUpToDate>false</LinksUpToDate>
  <CharactersWithSpaces>32268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2012-10-16T04:07:00Z</dcterms:modified>
</cp:coreProperties>
</file>